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E7DB6" w:rsidRDefault="00000000">
      <w:pPr>
        <w:pStyle w:val="Heading1"/>
      </w:pPr>
      <w:bookmarkStart w:id="0" w:name="X5402862c7b6382451d5939fd06a9d95408b7c3f"/>
      <w:r>
        <w:t>Quantifying Multi-Signal Quorum Sensing Defines the Mapping from Environment to Bacterial Regulatory Responses</w:t>
      </w:r>
    </w:p>
    <w:p w:rsidR="00EE7DB6"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EE7DB6" w:rsidRDefault="00000000">
      <w:pPr>
        <w:pStyle w:val="Compact"/>
        <w:numPr>
          <w:ilvl w:val="0"/>
          <w:numId w:val="3"/>
        </w:numPr>
      </w:pPr>
      <w:r>
        <w:t>School of Biological Sciences, Georgia Institute of Technology, Atlanta, GA USA 30332.</w:t>
      </w:r>
    </w:p>
    <w:p w:rsidR="00EE7DB6" w:rsidRDefault="00000000">
      <w:pPr>
        <w:pStyle w:val="Compact"/>
        <w:numPr>
          <w:ilvl w:val="0"/>
          <w:numId w:val="3"/>
        </w:numPr>
      </w:pPr>
      <w:r>
        <w:t>Department of Microbiology, Faculty of Agriculture, Cairo University, Giza 12613, Egypt.</w:t>
      </w:r>
    </w:p>
    <w:p w:rsidR="00EE7DB6" w:rsidRDefault="00000000">
      <w:pPr>
        <w:pStyle w:val="Compact"/>
        <w:numPr>
          <w:ilvl w:val="0"/>
          <w:numId w:val="3"/>
        </w:numPr>
      </w:pPr>
      <w:r>
        <w:t>Department of Biology, College of Arts and Sciences, Georgia State University, Atlanta, GA USA 30303.</w:t>
      </w:r>
    </w:p>
    <w:p w:rsidR="00EE7DB6" w:rsidRDefault="00000000">
      <w:pPr>
        <w:pStyle w:val="Compact"/>
        <w:numPr>
          <w:ilvl w:val="0"/>
          <w:numId w:val="3"/>
        </w:numPr>
      </w:pPr>
      <w:r>
        <w:t>Present address: Sandia National Laboratories, Albuquerque, NM, USA.</w:t>
      </w:r>
    </w:p>
    <w:p w:rsidR="00EE7DB6"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 xml:space="preserve">‑HSL increasing </w:t>
      </w:r>
      <w:r>
        <w:lastRenderedPageBreak/>
        <w:t>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EE7DB6" w:rsidRDefault="00000000">
      <w:pPr>
        <w:pStyle w:val="Heading3"/>
      </w:pPr>
      <w:bookmarkStart w:id="1" w:name="significance-statement"/>
      <w:r>
        <w:t>Significance Statement</w:t>
      </w:r>
    </w:p>
    <w:p w:rsidR="00EE7DB6"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rsidR="00EE7DB6" w:rsidRDefault="00000000">
      <w:pPr>
        <w:pStyle w:val="Heading2"/>
      </w:pPr>
      <w:bookmarkStart w:id="2" w:name="introduction"/>
      <w:bookmarkEnd w:id="1"/>
      <w:r>
        <w:t>Introduction</w:t>
      </w:r>
    </w:p>
    <w:p w:rsidR="00EE7DB6"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lastRenderedPageBreak/>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EE7DB6"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rsidR="00EE7DB6" w:rsidRDefault="00000000">
      <w:pPr>
        <w:pStyle w:val="BodyText"/>
      </w:pPr>
      <w:r>
        <w:rPr>
          <w:i/>
          <w:iCs/>
        </w:rPr>
        <w:lastRenderedPageBreak/>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EE7DB6" w:rsidRDefault="00000000">
      <w:pPr>
        <w:pStyle w:val="CaptionedFigure"/>
      </w:pPr>
      <w:bookmarkStart w:id="3" w:name="fig:architectures"/>
      <w:r>
        <w:rPr>
          <w:noProof/>
        </w:rPr>
        <w:lastRenderedPageBreak/>
        <w:drawing>
          <wp:inline distT="0" distB="0" distL="0" distR="0">
            <wp:extent cx="5238750" cy="381000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rsidR="00EE7DB6"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 All papers show the </w:t>
      </w:r>
      <w:r>
        <w:rPr>
          <w:i/>
          <w:iCs/>
        </w:rPr>
        <w:t>las</w:t>
      </w:r>
      <w:r>
        <w:t xml:space="preserve"> system affecting the </w:t>
      </w:r>
      <w:r>
        <w:rPr>
          <w:i/>
          <w:iCs/>
        </w:rPr>
        <w:t>rhl</w:t>
      </w:r>
      <w:r>
        <w:t xml:space="preserve"> system, but none identify a </w:t>
      </w:r>
      <w:r>
        <w:rPr>
          <w:i/>
          <w:iCs/>
        </w:rPr>
        <w:t>las</w:t>
      </w:r>
      <w:r>
        <w:t xml:space="preserve"> synthase or receptor gene as a target of the </w:t>
      </w:r>
      <w:r>
        <w:rPr>
          <w:i/>
          <w:iCs/>
        </w:rPr>
        <w:t>rhl</w:t>
      </w:r>
      <w:r>
        <w:t xml:space="preserve"> system.</w:t>
      </w:r>
    </w:p>
    <w:p w:rsidR="00EE7DB6"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w:t>
      </w:r>
      <w:r>
        <w:lastRenderedPageBreak/>
        <w:t xml:space="preserve">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self-activate even when the “top of the hierarchy” </w:t>
      </w:r>
      <w:r>
        <w:rPr>
          <w:i/>
          <w:iCs/>
        </w:rPr>
        <w:t>lasR</w:t>
      </w:r>
      <w:r>
        <w:t xml:space="preserve"> gene is deleted (15, 16),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EE7DB6"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rsidR="00EE7DB6" w:rsidRDefault="00000000">
      <w:pPr>
        <w:pStyle w:val="Heading2"/>
      </w:pPr>
      <w:bookmarkStart w:id="4" w:name="results"/>
      <w:bookmarkEnd w:id="2"/>
      <w:r>
        <w:t>Results</w:t>
      </w:r>
    </w:p>
    <w:p w:rsidR="00EE7DB6"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EE7DB6"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rsidR="00EE7DB6"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EE7DB6" w:rsidRDefault="00000000">
      <w:pPr>
        <w:pStyle w:val="CaptionedFigure"/>
      </w:pPr>
      <w:bookmarkStart w:id="6" w:name="fig:observations"/>
      <w:r>
        <w:rPr>
          <w:noProof/>
        </w:rPr>
        <w:drawing>
          <wp:inline distT="0" distB="0" distL="0" distR="0">
            <wp:extent cx="5238750" cy="36195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6"/>
    <w:p w:rsidR="00EE7DB6"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w:t>
      </w:r>
      <w:r>
        <w:lastRenderedPageBreak/>
        <w:t>the time window of peak expression; dashed lines show a locally weighted regression (lowess smoothing) of the mean fold-change for each concentration value. Figures S.1 and S.2 show the underlying expression data for the entire time course of the experiments.</w:t>
      </w:r>
    </w:p>
    <w:p w:rsidR="00EE7DB6"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EE7DB6" w:rsidRDefault="00000000">
      <w:pPr>
        <w:pStyle w:val="BodyText"/>
      </w:pPr>
      <w:r>
        <w:t xml:space="preserve">To quantify the impact of each signal alone, we model gene expression using Michaelis-Menten kinetics under quasi-steady state assumptions (Methods), allowing us to estimate both the maximal fold-change under signal activation and sensitivity to signal (Table S.3). Our model fits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EE7DB6" w:rsidRDefault="00000000">
      <w:pPr>
        <w:pStyle w:val="BodyText"/>
      </w:pPr>
      <w:r>
        <w:t>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EE7DB6" w:rsidRDefault="00000000">
      <w:pPr>
        <w:pStyle w:val="Heading3"/>
      </w:pPr>
      <w:bookmarkStart w:id="7" w:name="Xd9ec9ccc2950f918895b0b80d0b7b8ad7ce6195"/>
      <w:bookmarkEnd w:id="5"/>
      <w:r>
        <w:lastRenderedPageBreak/>
        <w:t xml:space="preserve">Quantifying the </w:t>
      </w:r>
      <w:r>
        <w:rPr>
          <w:i/>
          <w:iCs/>
        </w:rPr>
        <w:t>las</w:t>
      </w:r>
      <w:r>
        <w:t xml:space="preserve"> and </w:t>
      </w:r>
      <w:r>
        <w:rPr>
          <w:i/>
          <w:iCs/>
        </w:rPr>
        <w:t>rhl</w:t>
      </w:r>
      <w:r>
        <w:t xml:space="preserve"> Interactions Reveals Non-Linear and Synergistic Effects</w:t>
      </w:r>
    </w:p>
    <w:p w:rsidR="00EE7DB6" w:rsidRDefault="00000000">
      <w:pPr>
        <w:pStyle w:val="FirstParagraph"/>
      </w:pPr>
      <w:r>
        <w:t>Having established a simple Michaelis-Menten model for each signal in isolation (Figure 2A-D),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EE7DB6" w:rsidRDefault="00000000">
      <w:pPr>
        <w:pStyle w:val="CaptionedFigure"/>
      </w:pPr>
      <w:bookmarkStart w:id="8" w:name="fig:reciprocal"/>
      <w:r>
        <w:rPr>
          <w:noProof/>
        </w:rPr>
        <w:drawing>
          <wp:inline distT="0" distB="0" distL="0" distR="0">
            <wp:extent cx="5238750" cy="33528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3352800"/>
                    </a:xfrm>
                    <a:prstGeom prst="rect">
                      <a:avLst/>
                    </a:prstGeom>
                    <a:noFill/>
                    <a:ln w="9525">
                      <a:noFill/>
                      <a:headEnd/>
                      <a:tailEnd/>
                    </a:ln>
                  </pic:spPr>
                </pic:pic>
              </a:graphicData>
            </a:graphic>
          </wp:inline>
        </w:drawing>
      </w:r>
    </w:p>
    <w:bookmarkEnd w:id="8"/>
    <w:p w:rsidR="00EE7DB6"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a single signal alone, either 3‑oxo‑C</w:t>
      </w:r>
      <w:r>
        <w:rPr>
          <w:vertAlign w:val="subscript"/>
        </w:rPr>
        <w:t>12</w:t>
      </w:r>
      <w:r>
        <w:t>‑HSL or C</w:t>
      </w:r>
      <w:r>
        <w:rPr>
          <w:vertAlign w:val="subscript"/>
        </w:rPr>
        <w:t>4</w:t>
      </w:r>
      <w:r>
        <w:t xml:space="preserve">‑HSL, cannot account for the maximal expression of </w:t>
      </w:r>
      <w:r>
        <w:rPr>
          <w:i/>
          <w:iCs/>
        </w:rPr>
        <w:t>lasI</w:t>
      </w:r>
      <w:r>
        <w:t xml:space="preserve"> or </w:t>
      </w:r>
      <w:r>
        <w:rPr>
          <w:i/>
          <w:iCs/>
        </w:rPr>
        <w:t>rhlI.</w:t>
      </w:r>
      <w:r>
        <w:t xml:space="preserve"> The green, flat surfaces in the plots indicate the maximum mean expression level measured across all combinations of signal concentrations. The plotted points represent observed expression levels </w:t>
      </w:r>
      <w:r>
        <w:lastRenderedPageBreak/>
        <w:t>when C</w:t>
      </w:r>
      <w:r>
        <w:rPr>
          <w:vertAlign w:val="subscript"/>
        </w:rPr>
        <w:t>4</w:t>
      </w:r>
      <w:r>
        <w:t>‑HSL is withheld (red) and when 3‑oxo‑C</w:t>
      </w:r>
      <w:r>
        <w:rPr>
          <w:vertAlign w:val="subscript"/>
        </w:rPr>
        <w:t>12</w:t>
      </w:r>
      <w:r>
        <w:t>‑HSL is withheld (yellow). Lines indicate the model predictions (Equation S.1, parameters in Table S.3). (C,D) Multi-signal models which incorporate non-zero concentrations of both signals capture the synergistic effects of both signals and match observed expression levels.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S.4 and S.5 present more detailed comparisons between model and observations. (E) The multi-signal model can be represented schematically with arrows indicating the relevant influence on expresion levels. Arrow thickness is proportional to maximum fold-change contribution, and beaker height is proprotional to the half concentration values (on a logarithmic scale) for each signal.</w:t>
      </w:r>
    </w:p>
    <w:p w:rsidR="00EE7DB6"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EE7DB6" w:rsidRDefault="003031B4">
      <w:pPr>
        <w:pStyle w:val="FirstParagraph"/>
      </w:pPr>
      <w:r>
        <w:rPr>
          <w:noProof/>
        </w:rPr>
        <w:drawing>
          <wp:inline distT="0" distB="0" distL="0" distR="0">
            <wp:extent cx="5486400" cy="2895600"/>
            <wp:effectExtent l="0" t="0" r="0" b="0"/>
            <wp:docPr id="167300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4829" name="Graphic 1673004829"/>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rsidR="00EE7DB6" w:rsidRDefault="00000000">
      <w:pPr>
        <w:pStyle w:val="BodyText"/>
      </w:pPr>
      <w:r>
        <w:lastRenderedPageBreak/>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rsidR="00EE7DB6"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graphically and revises the consensus view of Figure 1D—the </w:t>
      </w:r>
      <w:r>
        <w:rPr>
          <w:i/>
          <w:iCs/>
        </w:rPr>
        <w:t>rhl</w:t>
      </w:r>
      <w:r>
        <w:t xml:space="preserve"> system does influence the </w:t>
      </w:r>
      <w:r>
        <w:rPr>
          <w:i/>
          <w:iCs/>
        </w:rPr>
        <w:t>las</w:t>
      </w:r>
      <w:r>
        <w:t xml:space="preserve"> system—and it shows the relative magnitudes of the effects.</w:t>
      </w:r>
    </w:p>
    <w:p w:rsidR="00EE7DB6"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rsidR="00EE7DB6"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rsidR="00EE7DB6"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4A,B). As illustrated for </w:t>
      </w:r>
      <w:r>
        <w:rPr>
          <w:i/>
          <w:iCs/>
        </w:rPr>
        <w:t>lasI</w:t>
      </w:r>
      <w:r>
        <w:t xml:space="preserve"> </w:t>
      </w:r>
      <w:r>
        <w:lastRenderedPageBreak/>
        <w:t xml:space="preserve">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data highlights that </w:t>
      </w:r>
      <w:r>
        <w:rPr>
          <w:i/>
          <w:iCs/>
        </w:rPr>
        <w:t>lasB</w:t>
      </w:r>
      <w:r>
        <w:t xml:space="preserve"> expression is dominated by the synergistic combination of both signals rather than either signal in isolation. Notably, </w:t>
      </w:r>
      <w:r>
        <w:rPr>
          <w:i/>
          <w:iCs/>
        </w:rPr>
        <w:t>lasB</w:t>
      </w:r>
      <w:r>
        <w:t xml:space="preserve"> expression is more sensitive to C</w:t>
      </w:r>
      <w:r>
        <w:rPr>
          <w:vertAlign w:val="subscript"/>
        </w:rPr>
        <w:t>4</w:t>
      </w:r>
      <w:r>
        <w:t>‑HSL than to 3‑oxo‑C</w:t>
      </w:r>
      <w:r>
        <w:rPr>
          <w:vertAlign w:val="subscript"/>
        </w:rPr>
        <w:t>12</w:t>
      </w:r>
      <w:r>
        <w:t>‑HSL. (Figure 4C).</w:t>
      </w:r>
    </w:p>
    <w:p w:rsidR="00EE7DB6" w:rsidRDefault="00000000">
      <w:pPr>
        <w:pStyle w:val="CaptionedFigure"/>
      </w:pPr>
      <w:bookmarkStart w:id="10" w:name="fig:lasb"/>
      <w:r>
        <w:rPr>
          <w:noProof/>
        </w:rPr>
        <w:drawing>
          <wp:inline distT="0" distB="0" distL="0" distR="0">
            <wp:extent cx="3429000" cy="2381250"/>
            <wp:effectExtent l="0" t="0" r="0" b="0"/>
            <wp:docPr id="41" name="Picture" descr="Figure 4: lasb"/>
            <wp:cNvGraphicFramePr/>
            <a:graphic xmlns:a="http://schemas.openxmlformats.org/drawingml/2006/main">
              <a:graphicData uri="http://schemas.openxmlformats.org/drawingml/2006/picture">
                <pic:pic xmlns:pic="http://schemas.openxmlformats.org/drawingml/2006/picture">
                  <pic:nvPicPr>
                    <pic:cNvPr id="42"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429000" cy="2381250"/>
                    </a:xfrm>
                    <a:prstGeom prst="rect">
                      <a:avLst/>
                    </a:prstGeom>
                    <a:noFill/>
                    <a:ln w="9525">
                      <a:noFill/>
                      <a:headEnd/>
                      <a:tailEnd/>
                    </a:ln>
                  </pic:spPr>
                </pic:pic>
              </a:graphicData>
            </a:graphic>
          </wp:inline>
        </w:drawing>
      </w:r>
    </w:p>
    <w:bookmarkEnd w:id="10"/>
    <w:p w:rsidR="00EE7DB6"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(C) Model parameters for </w:t>
      </w:r>
      <w:r>
        <w:rPr>
          <w:i/>
          <w:iCs/>
        </w:rPr>
        <w:t>lasB</w:t>
      </w:r>
      <w:r>
        <w:t xml:space="preserve"> can be compared with those for </w:t>
      </w:r>
      <w:r>
        <w:rPr>
          <w:i/>
          <w:iCs/>
        </w:rPr>
        <w:t>lasI</w:t>
      </w:r>
      <w:r>
        <w:t xml:space="preserve"> and </w:t>
      </w:r>
      <w:r>
        <w:rPr>
          <w:i/>
          <w:iCs/>
        </w:rPr>
        <w:t>rhlI.</w:t>
      </w:r>
      <w:r>
        <w:t xml:space="preserve"> Figure S.3 shows underlying expression data for full time course of experiments; Table S.5 lists the parameter values, and Figures S.6 and S.7 provide a detailed comparison of model predictions and observations.</w:t>
      </w:r>
    </w:p>
    <w:p w:rsidR="00EE7DB6" w:rsidRDefault="00000000">
      <w:pPr>
        <w:pStyle w:val="Heading3"/>
      </w:pPr>
      <w:bookmarkStart w:id="11" w:name="X640711410c21f1b42f74977b292640e4bbbb74d"/>
      <w:bookmarkEnd w:id="9"/>
      <w:r>
        <w:t>Mathematical Models Incorporating Multi-signal Interactions Predict Quorum Sensing Response to Environmental Variation</w:t>
      </w:r>
    </w:p>
    <w:p w:rsidR="00EE7DB6"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S.6),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rsidR="00EE7DB6" w:rsidRDefault="00000000">
      <w:pPr>
        <w:pStyle w:val="BodyText"/>
      </w:pPr>
      <w:r>
        <w:lastRenderedPageBreak/>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EE7DB6" w:rsidRDefault="003031B4">
      <w:pPr>
        <w:pStyle w:val="FirstParagraph"/>
      </w:pPr>
      <w:r>
        <w:rPr>
          <w:noProof/>
        </w:rPr>
        <w:drawing>
          <wp:inline distT="0" distB="0" distL="0" distR="0">
            <wp:extent cx="5486400" cy="2819400"/>
            <wp:effectExtent l="0" t="0" r="0" b="0"/>
            <wp:docPr id="75077957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79575" name="Graphic 750779575"/>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rsidR="00EE7DB6"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EE7DB6" w:rsidRDefault="00000000">
      <w:pPr>
        <w:pStyle w:val="BodyText"/>
      </w:pPr>
      <w:r>
        <w:lastRenderedPageBreak/>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parameterized model of </w:t>
      </w:r>
      <w:r>
        <w:rPr>
          <w:i/>
          <w:iCs/>
        </w:rPr>
        <w:t>lasB</w:t>
      </w:r>
      <w:r>
        <w:t xml:space="preserve"> expression (Equation 1 as parameterized by Table S.5). Integrating these steps allows us to probe how </w:t>
      </w:r>
      <w:r>
        <w:rPr>
          <w:i/>
          <w:iCs/>
        </w:rPr>
        <w:t>lasB</w:t>
      </w:r>
      <w:r>
        <w:t xml:space="preserve"> expression varies as the social (</w:t>
      </w:r>
      <w:r>
        <w:rPr>
          <w:i/>
          <w:iCs/>
        </w:rPr>
        <w:t>N</w:t>
      </w:r>
      <w:r>
        <w:t>) and physical (</w:t>
      </w:r>
      <w:r>
        <w:rPr>
          <w:i/>
          <w:iCs/>
        </w:rPr>
        <w:t>m</w:t>
      </w:r>
      <w:r>
        <w:t>) environment changes.</w:t>
      </w:r>
    </w:p>
    <w:p w:rsidR="00EE7DB6" w:rsidRDefault="00000000">
      <w:pPr>
        <w:pStyle w:val="BodyText"/>
      </w:pPr>
      <w:r>
        <w:t xml:space="preserve">In Figure 5A,B we illustrate our integrated model prediction of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rsidR="00EE7DB6" w:rsidRDefault="00000000">
      <w:pPr>
        <w:pStyle w:val="CaptionedFigure"/>
      </w:pPr>
      <w:bookmarkStart w:id="12" w:name="fig:environment"/>
      <w:r>
        <w:rPr>
          <w:noProof/>
        </w:rPr>
        <w:lastRenderedPageBreak/>
        <w:drawing>
          <wp:inline distT="0" distB="0" distL="0" distR="0">
            <wp:extent cx="5238750" cy="5238750"/>
            <wp:effectExtent l="0" t="0" r="0" b="0"/>
            <wp:docPr id="48" name="Picture" descr="Figure 5: environment"/>
            <wp:cNvGraphicFramePr/>
            <a:graphic xmlns:a="http://schemas.openxmlformats.org/drawingml/2006/main">
              <a:graphicData uri="http://schemas.openxmlformats.org/drawingml/2006/picture">
                <pic:pic xmlns:pic="http://schemas.openxmlformats.org/drawingml/2006/picture">
                  <pic:nvPicPr>
                    <pic:cNvPr id="49"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rsidR="00EE7DB6" w:rsidRDefault="00000000">
      <w:pPr>
        <w:pStyle w:val="Caption"/>
      </w:pPr>
      <w:r>
        <w:rPr>
          <w:b/>
          <w:bCs/>
        </w:rPr>
        <w:t>Figure 5. The models of Equations 1 and 2 in combination can quantitatively predict QS-controlled responses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(36) of predicted </w:t>
      </w:r>
      <w:r>
        <w:rPr>
          <w:i/>
          <w:iCs/>
        </w:rPr>
        <w:t>lasB</w:t>
      </w:r>
      <w:r>
        <w:t xml:space="preserve"> expression level (solid line) as a function of population carrying capacity. The figure also shows independent experimental observations of </w:t>
      </w:r>
      <w:r>
        <w:rPr>
          <w:i/>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w:t>
      </w:r>
    </w:p>
    <w:p w:rsidR="00EE7DB6" w:rsidRDefault="00000000">
      <w:pPr>
        <w:pStyle w:val="Heading3"/>
      </w:pPr>
      <w:bookmarkStart w:id="13" w:name="Xa6938a39d0945a75713dd8913666836961d703b"/>
      <w:bookmarkEnd w:id="11"/>
      <w:r>
        <w:t>Multi-Signal Architectures Govern Functional Responses to Environmental Variation</w:t>
      </w:r>
    </w:p>
    <w:p w:rsidR="00EE7DB6" w:rsidRDefault="00000000">
      <w:pPr>
        <w:pStyle w:val="FirstParagraph"/>
      </w:pPr>
      <w:r>
        <w:t xml:space="preserve">Following an initial validation of our quantitative predictions linking environmental properties to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EE7DB6"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EE7DB6"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w:t>
      </w:r>
      <w:r>
        <w:lastRenderedPageBreak/>
        <w:t xml:space="preserve">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EE7DB6" w:rsidRDefault="00000000">
      <w:pPr>
        <w:pStyle w:val="Heading2"/>
      </w:pPr>
      <w:bookmarkStart w:id="14" w:name="discussion"/>
      <w:bookmarkEnd w:id="4"/>
      <w:bookmarkEnd w:id="13"/>
      <w:r>
        <w:t>Discussion</w:t>
      </w:r>
    </w:p>
    <w:p w:rsidR="00EE7DB6"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(38), </w:t>
      </w:r>
      <w:r>
        <w:rPr>
          <w:i/>
          <w:iCs/>
        </w:rPr>
        <w:t>P. polymyxa</w:t>
      </w:r>
      <w:r>
        <w:t xml:space="preserve"> (39), </w:t>
      </w:r>
      <w:r>
        <w:rPr>
          <w:i/>
          <w:iCs/>
        </w:rPr>
        <w:t>V. harveyi</w:t>
      </w:r>
      <w:r>
        <w:t xml:space="preserve"> (40), and </w:t>
      </w:r>
      <w:r>
        <w:rPr>
          <w:i/>
          <w:iCs/>
        </w:rPr>
        <w:t>V. cholerae</w:t>
      </w:r>
      <w:r>
        <w:t xml:space="preserve"> (41)). While this widespread design feature has been probed extensively on a molecular mechanistic scale to produce detailed intracellular “wiring diagrams” (1, 42). we still lack a general understanding of the dynamical capacities and functional sensing role(s) of these more complex architectures. In this study we use the model QS organism </w:t>
      </w:r>
      <w:r>
        <w:rPr>
          <w:i/>
          <w:iCs/>
        </w:rPr>
        <w:lastRenderedPageBreak/>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EE7DB6"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existing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rsidR="00EE7DB6" w:rsidRDefault="00000000">
      <w:pPr>
        <w:pStyle w:val="BodyText"/>
      </w:pPr>
      <w:r>
        <w:t xml:space="preserve">Turning to the most common functional rationales for QS, our final parameterized model (Figure 5C-F)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w:t>
      </w:r>
      <w:r>
        <w:lastRenderedPageBreak/>
        <w:t xml:space="preserve">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rsidR="00EE7DB6" w:rsidRDefault="00000000">
      <w:pPr>
        <w:pStyle w:val="BodyText"/>
      </w:pPr>
      <w:r>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EE7DB6" w:rsidRDefault="00000000">
      <w:pPr>
        <w:pStyle w:val="CaptionedFigure"/>
      </w:pPr>
      <w:bookmarkStart w:id="15" w:name="fig:2signals"/>
      <w:r>
        <w:rPr>
          <w:noProof/>
        </w:rPr>
        <w:lastRenderedPageBreak/>
        <w:drawing>
          <wp:inline distT="0" distB="0" distL="0" distR="0">
            <wp:extent cx="5238750" cy="3619500"/>
            <wp:effectExtent l="0" t="0" r="0" b="0"/>
            <wp:docPr id="56" name="Picture" descr="Figure 6: 2signals"/>
            <wp:cNvGraphicFramePr/>
            <a:graphic xmlns:a="http://schemas.openxmlformats.org/drawingml/2006/main">
              <a:graphicData uri="http://schemas.openxmlformats.org/drawingml/2006/picture">
                <pic:pic xmlns:pic="http://schemas.openxmlformats.org/drawingml/2006/picture">
                  <pic:nvPicPr>
                    <pic:cNvPr id="57" name="Picture" descr="Figures/fig6_2signal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15"/>
    <w:p w:rsidR="00EE7DB6"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
          <w:iCs/>
        </w:rPr>
        <w:t>m</w:t>
      </w:r>
      <w:r>
        <w:t xml:space="preserve"> and population density </w:t>
      </w:r>
      <w:r>
        <w:rPr>
          <w:i/>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(Tables S.8). Figure S.10 reports the same outputs using non-rescaled model parameters.</w:t>
      </w:r>
    </w:p>
    <w:p w:rsidR="00EE7DB6" w:rsidRDefault="00000000">
      <w:pPr>
        <w:pStyle w:val="BodyText"/>
      </w:pPr>
      <w:r>
        <w:t>By focusing on extracellular signal concentration as the factor determining behavior, our approach accommodates multiple possible intracellular mechanisms of gene activation.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2C,F </w:t>
      </w:r>
      <w:r>
        <w:lastRenderedPageBreak/>
        <w:t xml:space="preserve">and 3C,D) raise additional mechanistic questions. In particular, Figure 3C,D raises challenges for standard additive (43) or multiplicative (18) models of gene expression as a function of multiple inputs. Sauer et al. (44)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into the mechanisms of P. aeruginosa quorum sensing interactions can provide insights into more general gene regulatory network models.</w:t>
      </w:r>
    </w:p>
    <w:p w:rsidR="00EE7DB6"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adds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45)).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rsidR="00EE7DB6" w:rsidRDefault="00000000">
      <w:pPr>
        <w:pStyle w:val="CaptionedFigure"/>
      </w:pPr>
      <w:bookmarkStart w:id="16" w:name="fig:3signals"/>
      <w:r>
        <w:rPr>
          <w:noProof/>
        </w:rPr>
        <w:lastRenderedPageBreak/>
        <w:drawing>
          <wp:inline distT="0" distB="0" distL="0" distR="0">
            <wp:extent cx="3762375" cy="3048000"/>
            <wp:effectExtent l="0" t="0" r="0" b="0"/>
            <wp:docPr id="61" name="Picture" descr="Figure 7: 3signals"/>
            <wp:cNvGraphicFramePr/>
            <a:graphic xmlns:a="http://schemas.openxmlformats.org/drawingml/2006/main">
              <a:graphicData uri="http://schemas.openxmlformats.org/drawingml/2006/picture">
                <pic:pic xmlns:pic="http://schemas.openxmlformats.org/drawingml/2006/picture">
                  <pic:nvPicPr>
                    <pic:cNvPr id="62" name="Picture" descr="Figures/fig7_3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16"/>
    <w:p w:rsidR="00EE7DB6"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rsidR="00EE7DB6" w:rsidRDefault="00000000">
      <w:pPr>
        <w:pStyle w:val="Heading2"/>
      </w:pPr>
      <w:bookmarkStart w:id="17" w:name="methods"/>
      <w:bookmarkEnd w:id="14"/>
      <w:r>
        <w:t>Methods</w:t>
      </w:r>
    </w:p>
    <w:p w:rsidR="00EE7DB6" w:rsidRDefault="00000000">
      <w:pPr>
        <w:pStyle w:val="Heading3"/>
      </w:pPr>
      <w:bookmarkStart w:id="18" w:name="literature-review"/>
      <w:r>
        <w:t>Literature Review</w:t>
      </w:r>
    </w:p>
    <w:p w:rsidR="00EE7DB6"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w:t>
      </w:r>
      <w:r>
        <w:lastRenderedPageBreak/>
        <w:t xml:space="preserve">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EE7DB6" w:rsidRDefault="00000000">
      <w:pPr>
        <w:pStyle w:val="Heading3"/>
      </w:pPr>
      <w:bookmarkStart w:id="19" w:name="data-collection"/>
      <w:bookmarkEnd w:id="18"/>
      <w:r>
        <w:t>Data Collection</w:t>
      </w:r>
    </w:p>
    <w:p w:rsidR="00EE7DB6"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EE7DB6"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EE7DB6" w:rsidRDefault="00000000">
      <w:pPr>
        <w:pStyle w:val="Heading3"/>
      </w:pPr>
      <w:bookmarkStart w:id="20" w:name="data-analysis"/>
      <w:bookmarkEnd w:id="19"/>
      <w:r>
        <w:t>Data Analysis</w:t>
      </w:r>
    </w:p>
    <w:p w:rsidR="00EE7DB6" w:rsidRDefault="00000000">
      <w:pPr>
        <w:pStyle w:val="FirstParagraph"/>
      </w:pPr>
      <w:r>
        <w:t xml:space="preserve">We estimated parameter values in Tables S.3, S.4, S.5, and S.6 with non-linear regression by least squares using the Gauss-Newton algorithm (46).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(47). Analyses performed and data visualizations created with </w:t>
      </w:r>
      <w:r>
        <w:rPr>
          <w:i/>
          <w:iCs/>
        </w:rPr>
        <w:t>MATLAB: Version 9.13 (R2022b)</w:t>
      </w:r>
      <w:r>
        <w:t xml:space="preserve"> </w:t>
      </w:r>
      <w:r>
        <w:lastRenderedPageBreak/>
        <w:t xml:space="preserve">from The MathWorks Inc., Natick, MA and </w:t>
      </w:r>
      <w:r>
        <w:rPr>
          <w:i/>
          <w:iCs/>
        </w:rPr>
        <w:t>Stata Statistical Software: Release 17</w:t>
      </w:r>
      <w:r>
        <w:t xml:space="preserve"> from StataCorp LLC, College Station, TX. All original code is available on GitHub at https://github.com/GaTechBrownLab.</w:t>
      </w:r>
    </w:p>
    <w:p w:rsidR="00EE7DB6" w:rsidRDefault="00000000">
      <w:pPr>
        <w:pStyle w:val="BodyText"/>
      </w:pPr>
      <w:r>
        <w:t>Additional third-party modules:</w:t>
      </w:r>
    </w:p>
    <w:p w:rsidR="00EE7DB6"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EE7DB6"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EE7DB6"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EE7DB6" w:rsidRDefault="00000000">
      <w:pPr>
        <w:pStyle w:val="BodyText"/>
      </w:pPr>
      <w:r>
        <w:t>Custom color schemes adapted from seaboarn.</w:t>
      </w:r>
    </w:p>
    <w:p w:rsidR="00EE7DB6"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EE7DB6" w:rsidRDefault="00000000">
      <w:pPr>
        <w:pStyle w:val="Heading2"/>
      </w:pPr>
      <w:bookmarkStart w:id="21" w:name="references"/>
      <w:bookmarkEnd w:id="17"/>
      <w:bookmarkEnd w:id="20"/>
      <w:r>
        <w:t>References</w:t>
      </w:r>
    </w:p>
    <w:p w:rsidR="00EE7DB6"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rsidR="00EE7DB6"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rsidR="00EE7DB6"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rsidR="00EE7DB6" w:rsidRDefault="00000000">
      <w:pPr>
        <w:pStyle w:val="Bibliography"/>
      </w:pPr>
      <w:bookmarkStart w:id="26" w:name="ref-Chugani2001"/>
      <w:bookmarkEnd w:id="25"/>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rsidR="00EE7DB6" w:rsidRDefault="00000000">
      <w:pPr>
        <w:pStyle w:val="Bibliography"/>
      </w:pPr>
      <w:bookmarkStart w:id="27" w:name="ref-Kiratisin2002"/>
      <w:bookmarkEnd w:id="26"/>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rsidR="00EE7DB6"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rsidR="00EE7DB6"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rsidR="00EE7DB6" w:rsidRDefault="00000000">
      <w:pPr>
        <w:pStyle w:val="Bibliography"/>
      </w:pPr>
      <w:bookmarkStart w:id="30" w:name="ref-Pearson1999"/>
      <w:bookmarkEnd w:id="29"/>
      <w:r>
        <w:lastRenderedPageBreak/>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rsidR="00EE7DB6"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rsidR="00EE7DB6"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rsidR="00EE7DB6"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rsidR="00EE7DB6"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rsidR="00EE7DB6" w:rsidRDefault="00000000">
      <w:pPr>
        <w:pStyle w:val="Bibliography"/>
      </w:pPr>
      <w:bookmarkStart w:id="35" w:name="ref-Schuster2007"/>
      <w:bookmarkEnd w:id="34"/>
      <w:r>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rsidR="00EE7DB6"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rsidR="00EE7DB6"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rsidR="00EE7DB6" w:rsidRDefault="00000000">
      <w:pPr>
        <w:pStyle w:val="Bibliography"/>
      </w:pPr>
      <w:bookmarkStart w:id="38" w:name="ref-Kostylev2019"/>
      <w:bookmarkEnd w:id="37"/>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rsidR="00EE7DB6"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rsidR="00EE7DB6"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rsidR="00EE7DB6" w:rsidRDefault="00000000">
      <w:pPr>
        <w:pStyle w:val="Bibliography"/>
      </w:pPr>
      <w:bookmarkStart w:id="41" w:name="ref-Casilag2016"/>
      <w:bookmarkEnd w:id="40"/>
      <w:r>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rsidR="00EE7DB6" w:rsidRDefault="00000000">
      <w:pPr>
        <w:pStyle w:val="Bibliography"/>
      </w:pPr>
      <w:bookmarkStart w:id="42" w:name="ref-Cigana2021"/>
      <w:bookmarkEnd w:id="41"/>
      <w:r>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rsidR="00EE7DB6"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rsidR="00EE7DB6"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rsidR="00EE7DB6" w:rsidRDefault="00000000">
      <w:pPr>
        <w:pStyle w:val="Bibliography"/>
      </w:pPr>
      <w:bookmarkStart w:id="45" w:name="ref-Sexton2017"/>
      <w:bookmarkEnd w:id="44"/>
      <w:r>
        <w:lastRenderedPageBreak/>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rsidR="00EE7DB6"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rsidR="00EE7DB6"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rsidR="00EE7DB6"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rsidR="00EE7DB6"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rsidR="00EE7DB6" w:rsidRDefault="00000000">
      <w:pPr>
        <w:pStyle w:val="Bibliography"/>
      </w:pPr>
      <w:bookmarkStart w:id="50" w:name="ref-Boedicker2009"/>
      <w:bookmarkEnd w:id="49"/>
      <w:r>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rsidR="00EE7DB6"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rsidR="00EE7DB6"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EE7DB6" w:rsidRDefault="00000000">
      <w:pPr>
        <w:pStyle w:val="Bibliography"/>
      </w:pPr>
      <w:bookmarkStart w:id="53" w:name="ref-James2000"/>
      <w:bookmarkEnd w:id="52"/>
      <w:r>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rsidR="00EE7DB6"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rsidR="00EE7DB6"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rsidR="00EE7DB6" w:rsidRDefault="00000000">
      <w:pPr>
        <w:pStyle w:val="Bibliography"/>
      </w:pPr>
      <w:bookmarkStart w:id="56" w:name="ref-Brown2013"/>
      <w:bookmarkEnd w:id="55"/>
      <w:r>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rsidR="00EE7DB6"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rsidR="00EE7DB6" w:rsidRDefault="00000000">
      <w:pPr>
        <w:pStyle w:val="Bibliography"/>
      </w:pPr>
      <w:bookmarkStart w:id="58" w:name="ref-Stearns1989"/>
      <w:bookmarkEnd w:id="57"/>
      <w:r>
        <w:t xml:space="preserve">36. </w:t>
      </w:r>
      <w:r>
        <w:tab/>
        <w:t xml:space="preserve">S. Stearns, The evolutionary significance of phenotypic plasticity. </w:t>
      </w:r>
      <w:r>
        <w:rPr>
          <w:i/>
          <w:iCs/>
        </w:rPr>
        <w:t>Bioscience</w:t>
      </w:r>
      <w:r>
        <w:t xml:space="preserve"> (1989).</w:t>
      </w:r>
    </w:p>
    <w:p w:rsidR="00EE7DB6"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rsidR="00EE7DB6" w:rsidRDefault="00000000">
      <w:pPr>
        <w:pStyle w:val="Bibliography"/>
      </w:pPr>
      <w:bookmarkStart w:id="60" w:name="ref-Auchtung2006"/>
      <w:bookmarkEnd w:id="59"/>
      <w:r>
        <w:t xml:space="preserve">38. </w:t>
      </w:r>
      <w:r>
        <w:tab/>
        <w:t xml:space="preserve">J. Auchtung, C. Lee, A. Grossman, Modulation of the ComA-dependent quorum response in bacillus subtilis by multiple rap proteins and phr peptides. </w:t>
      </w:r>
      <w:r>
        <w:rPr>
          <w:i/>
          <w:iCs/>
        </w:rPr>
        <w:t>J Bacteriol</w:t>
      </w:r>
      <w:r>
        <w:t xml:space="preserve"> </w:t>
      </w:r>
      <w:r>
        <w:rPr>
          <w:b/>
          <w:bCs/>
        </w:rPr>
        <w:t>188</w:t>
      </w:r>
      <w:r>
        <w:t>, 5273–5285 (2006).</w:t>
      </w:r>
    </w:p>
    <w:p w:rsidR="00EE7DB6" w:rsidRDefault="00000000">
      <w:pPr>
        <w:pStyle w:val="Bibliography"/>
      </w:pPr>
      <w:bookmarkStart w:id="61" w:name="ref-Voichek2020"/>
      <w:bookmarkEnd w:id="60"/>
      <w:r>
        <w:lastRenderedPageBreak/>
        <w:t xml:space="preserve">39.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rsidR="00EE7DB6" w:rsidRDefault="00000000">
      <w:pPr>
        <w:pStyle w:val="Bibliography"/>
      </w:pPr>
      <w:bookmarkStart w:id="62" w:name="ref-Henke2004"/>
      <w:bookmarkEnd w:id="61"/>
      <w:r>
        <w:t xml:space="preserve">40. </w:t>
      </w:r>
      <w:r>
        <w:tab/>
        <w:t xml:space="preserve">J. Henke, B. Bassler, Three parallel quorum-sensing systems regulate gene expression in vibrio harveyi. </w:t>
      </w:r>
      <w:r>
        <w:rPr>
          <w:i/>
          <w:iCs/>
        </w:rPr>
        <w:t>J Bacteriol</w:t>
      </w:r>
      <w:r>
        <w:t xml:space="preserve"> </w:t>
      </w:r>
      <w:r>
        <w:rPr>
          <w:b/>
          <w:bCs/>
        </w:rPr>
        <w:t>186</w:t>
      </w:r>
      <w:r>
        <w:t>, 6902–6914 (2004).</w:t>
      </w:r>
    </w:p>
    <w:p w:rsidR="00EE7DB6" w:rsidRDefault="00000000">
      <w:pPr>
        <w:pStyle w:val="Bibliography"/>
      </w:pPr>
      <w:bookmarkStart w:id="63" w:name="ref-Bridges2019"/>
      <w:bookmarkEnd w:id="62"/>
      <w:r>
        <w:t xml:space="preserve">41.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rsidR="00EE7DB6" w:rsidRDefault="00000000">
      <w:pPr>
        <w:pStyle w:val="Bibliography"/>
      </w:pPr>
      <w:bookmarkStart w:id="64" w:name="ref-Mok2003"/>
      <w:bookmarkEnd w:id="63"/>
      <w:r>
        <w:t xml:space="preserve">42.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rsidR="00EE7DB6" w:rsidRDefault="00000000">
      <w:pPr>
        <w:pStyle w:val="Bibliography"/>
      </w:pPr>
      <w:bookmarkStart w:id="65" w:name="ref-Long2009"/>
      <w:bookmarkEnd w:id="64"/>
      <w:r>
        <w:t xml:space="preserve">43.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rsidR="00EE7DB6" w:rsidRDefault="00000000">
      <w:pPr>
        <w:pStyle w:val="Bibliography"/>
      </w:pPr>
      <w:bookmarkStart w:id="66" w:name="ref-Sauer1995"/>
      <w:bookmarkEnd w:id="65"/>
      <w:r>
        <w:t xml:space="preserve">44. </w:t>
      </w:r>
      <w:r>
        <w:tab/>
        <w:t xml:space="preserve">F. Sauer, S. Hansen, R. Tjian, Multiple TAFIIs directing synergistic activation of transcription. </w:t>
      </w:r>
      <w:r>
        <w:rPr>
          <w:i/>
          <w:iCs/>
        </w:rPr>
        <w:t>Science</w:t>
      </w:r>
      <w:r>
        <w:t xml:space="preserve"> </w:t>
      </w:r>
      <w:r>
        <w:rPr>
          <w:b/>
          <w:bCs/>
        </w:rPr>
        <w:t>270</w:t>
      </w:r>
      <w:r>
        <w:t>, 1783–1788 (1995).</w:t>
      </w:r>
    </w:p>
    <w:p w:rsidR="00EE7DB6" w:rsidRDefault="00000000">
      <w:pPr>
        <w:pStyle w:val="Bibliography"/>
      </w:pPr>
      <w:bookmarkStart w:id="67" w:name="ref-McGrath2004"/>
      <w:bookmarkEnd w:id="66"/>
      <w:r>
        <w:t xml:space="preserve">45.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rsidR="00EE7DB6" w:rsidRDefault="00000000">
      <w:pPr>
        <w:pStyle w:val="Bibliography"/>
      </w:pPr>
      <w:bookmarkStart w:id="68" w:name="ref-Ratkowsky1983"/>
      <w:bookmarkEnd w:id="67"/>
      <w:r>
        <w:t xml:space="preserve">46. </w:t>
      </w:r>
      <w:r>
        <w:tab/>
        <w:t xml:space="preserve">D. A. Ratkowsky, </w:t>
      </w:r>
      <w:r>
        <w:rPr>
          <w:i/>
          <w:iCs/>
        </w:rPr>
        <w:t>Nonlinear regression modeling: A unified practical approach</w:t>
      </w:r>
      <w:r>
        <w:t xml:space="preserve"> (Marcel Dekker Incorporated, 1983).</w:t>
      </w:r>
    </w:p>
    <w:p w:rsidR="00EE7DB6" w:rsidRDefault="00000000">
      <w:pPr>
        <w:pStyle w:val="Bibliography"/>
      </w:pPr>
      <w:bookmarkStart w:id="69" w:name="ref-Powell1968"/>
      <w:bookmarkEnd w:id="68"/>
      <w:r>
        <w:t xml:space="preserve">47. </w:t>
      </w:r>
      <w:r>
        <w:tab/>
        <w:t>M. J. Powell, A fortran subroutine for solving systems of nonlinear algebraic equations. (1968).</w:t>
      </w:r>
      <w:bookmarkEnd w:id="0"/>
      <w:bookmarkEnd w:id="21"/>
      <w:bookmarkEnd w:id="23"/>
      <w:bookmarkEnd w:id="69"/>
    </w:p>
    <w:sectPr w:rsidR="00EE7DB6"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0987B7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9F527A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928849791">
    <w:abstractNumId w:val="0"/>
  </w:num>
  <w:num w:numId="3" w16cid:durableId="5073267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3031B4"/>
    <w:rsid w:val="004449AC"/>
    <w:rsid w:val="007D0AF9"/>
    <w:rsid w:val="00A20EEA"/>
    <w:rsid w:val="00A644EF"/>
    <w:rsid w:val="00C746F5"/>
    <w:rsid w:val="00C95896"/>
    <w:rsid w:val="00D220FA"/>
    <w:rsid w:val="00E34C78"/>
    <w:rsid w:val="00EE7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39086"/>
  <w15:docId w15:val="{AB4A9A62-B1DB-3140-B18B-DD13769C6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27</Pages>
  <Words>7118</Words>
  <Characters>40576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2024-11-15T15:58:00Z</dcterms:created>
  <dcterms:modified xsi:type="dcterms:W3CDTF">2024-11-15T16:00:00Z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